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the Relevant Authority and assist it in dealing with such </w:t>
      </w:r>
      <w:r w:rsidDel="00000000" w:rsidR="00000000" w:rsidRPr="00000000">
        <w:rPr>
          <w:rFonts w:ascii="Arial" w:cs="Arial" w:eastAsia="Arial" w:hAnsi="Arial"/>
          <w:sz w:val="24"/>
          <w:szCs w:val="24"/>
          <w:rtl w:val="0"/>
        </w:rPr>
        <w:t xml:space="preserve">claims, 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(£1,000,000); </w:t>
      </w:r>
      <w:r w:rsidDel="00000000" w:rsidR="00000000" w:rsidRPr="00000000">
        <w:rPr>
          <w:rtl w:val="0"/>
        </w:rPr>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pPr>
      <w:bookmarkStart w:colFirst="0" w:colLast="0" w:name="_3znysh7" w:id="2"/>
      <w:bookmarkEnd w:id="2"/>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ten million pounds (£10,000,000).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headerReference r:id="rId6" w:type="default"/>
          <w:headerReference r:id="rId7" w:type="first"/>
          <w:footerReference r:id="rId8" w:type="default"/>
          <w:footerReference r:id="rId9" w:type="first"/>
          <w:pgSz w:h="16838" w:w="11906"/>
          <w:pgMar w:bottom="1440" w:top="1440" w:left="1440" w:right="1440"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type w:val="continuous"/>
      <w:pgSz w:h="16838" w:w="11906"/>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2">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